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仿宋_GB2312" w:hAnsi="华文仿宋" w:eastAsia="仿宋_GB2312"/>
          <w:b/>
          <w:snapToGrid w:val="0"/>
          <w:sz w:val="32"/>
          <w:szCs w:val="32"/>
        </w:rPr>
      </w:pPr>
      <w:r>
        <w:rPr>
          <w:rFonts w:hint="eastAsia" w:ascii="仿宋_GB2312" w:hAnsi="华文仿宋" w:eastAsia="仿宋_GB2312"/>
          <w:b/>
          <w:snapToGrid w:val="0"/>
          <w:sz w:val="32"/>
          <w:szCs w:val="32"/>
        </w:rPr>
        <w:t>实验室安全准入系统</w:t>
      </w:r>
      <w:r>
        <w:rPr>
          <w:rFonts w:hint="eastAsia" w:ascii="仿宋_GB2312" w:hAnsi="华文仿宋" w:eastAsia="仿宋_GB2312"/>
          <w:b/>
          <w:snapToGrid w:val="0"/>
          <w:sz w:val="32"/>
          <w:szCs w:val="32"/>
          <w:lang w:eastAsia="zh-CN"/>
        </w:rPr>
        <w:t>服务采购项目</w:t>
      </w:r>
      <w:r>
        <w:rPr>
          <w:rFonts w:hint="eastAsia" w:ascii="仿宋_GB2312" w:hAnsi="华文仿宋" w:eastAsia="仿宋_GB2312"/>
          <w:b/>
          <w:snapToGrid w:val="0"/>
          <w:sz w:val="32"/>
          <w:szCs w:val="32"/>
        </w:rPr>
        <w:t>技术参数、</w:t>
      </w:r>
      <w:r>
        <w:rPr>
          <w:rFonts w:hint="eastAsia" w:ascii="仿宋_GB2312" w:hAnsi="华文仿宋" w:eastAsia="仿宋_GB2312"/>
          <w:b/>
          <w:snapToGrid w:val="0"/>
          <w:sz w:val="32"/>
          <w:szCs w:val="32"/>
          <w:lang w:eastAsia="zh-CN"/>
        </w:rPr>
        <w:t>产品服务清单</w:t>
      </w:r>
    </w:p>
    <w:p>
      <w:pPr>
        <w:adjustRightInd w:val="0"/>
        <w:snapToGrid w:val="0"/>
        <w:spacing w:line="300" w:lineRule="auto"/>
        <w:jc w:val="center"/>
        <w:rPr>
          <w:rFonts w:ascii="仿宋_GB2312" w:hAnsi="华文仿宋" w:eastAsia="仿宋_GB2312"/>
          <w:b/>
          <w:snapToGrid w:val="0"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jc w:val="center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napToGrid w:val="0"/>
          <w:sz w:val="32"/>
          <w:szCs w:val="32"/>
        </w:rPr>
        <w:t>一、</w:t>
      </w:r>
      <w:r>
        <w:rPr>
          <w:rFonts w:hint="eastAsia" w:ascii="仿宋_GB2312" w:hAnsi="华文仿宋" w:eastAsia="仿宋_GB2312"/>
          <w:b/>
          <w:sz w:val="32"/>
          <w:szCs w:val="24"/>
        </w:rPr>
        <w:t>技术参数</w:t>
      </w:r>
    </w:p>
    <w:p>
      <w:pPr>
        <w:pStyle w:val="14"/>
        <w:ind w:firstLine="0" w:firstLineChars="0"/>
        <w:rPr>
          <w:rFonts w:ascii="仿宋_GB2312" w:hAnsi="华文仿宋" w:eastAsia="仿宋_GB2312" w:cs="Times New Roman"/>
          <w:szCs w:val="24"/>
        </w:rPr>
      </w:pPr>
      <w:r>
        <w:rPr>
          <w:rFonts w:hint="eastAsia" w:ascii="仿宋_GB2312" w:hAnsi="华文仿宋" w:eastAsia="仿宋_GB2312" w:cs="Times New Roman"/>
          <w:szCs w:val="24"/>
        </w:rPr>
        <w:t>一、总体技术要求</w:t>
      </w:r>
    </w:p>
    <w:p>
      <w:pPr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实验室准入系统是应用计算机技术、多媒体技术、网络通信技术、数字技术、虚拟现实技术等现代信息技术手段构建的一种新型教学模式，是融合现代教育理念、教学内容和现代信息技术的具有多种功能的实验室教学系统。系统应满足以下基本要求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支持整个课程创建、内容共享、学习过程跟踪和控制、在线测试和作业发布、交流互动、成绩评测和学习成果反馈教学流程，实现信息技术与教学过程的深度融合。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系统设计满足大规模用户使用、支持分布式部署，应满足万人在线学习的性能要求。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3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 xml:space="preserve"> 采用B/S结构，基于J2EE架构，页面采用Web2.0 AJAX开发，不需要另行安装插件就可以支持IE9及以上版本、safari、Firefox、chrome等浏览器。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4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具有先进性、可移植性、开放性和兼容性，支持标准化多媒体课件。支持随用户使用量的增大而只需增加相应的硬件即可。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5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支持Web服务器集群。具有安全策略和备份机制，可根据不同的业务要求采用不同的安全措施，保证发生故障时不影响整个系统的正常运行。提供各级数据备份机制能够每天非工作时段定时备份数据库。具有相关策略对知识产权进行保护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6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不限注册课程数量和注册用户数，其中的网络课程可以实现按课程的导入、导出进行备份。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7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系统支持辅助教学、翻转课堂、纯网络教学、直播课堂等多种网络教学模式。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8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系统具有视频、文档格式自动转换、码流自动转换的功能，以适应不同的访问终端（Android，iOS）；所有文档资源自动转码成flash格式播放，视频类资源系统自动转码为mp4、flv等多种格式。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9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角色管理：可建立学生、教师、管理员、超级管理员等角色，各级管理员也可以根据自身的需求创建角色和为角色指定权限。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</w:t>
      </w:r>
      <w:r>
        <w:rPr>
          <w:rFonts w:ascii="仿宋_GB2312" w:hAnsi="华文仿宋" w:eastAsia="仿宋_GB2312"/>
          <w:sz w:val="24"/>
        </w:rPr>
        <w:t>0.</w:t>
      </w:r>
      <w:r>
        <w:rPr>
          <w:rFonts w:hint="eastAsia" w:ascii="仿宋_GB2312" w:hAnsi="华文仿宋" w:eastAsia="仿宋_GB2312"/>
          <w:sz w:val="24"/>
        </w:rPr>
        <w:t>权限管理：可为每个导航功能点分配访问、管理等不同的权限，管理员可以批量给用户分配、收回权限，具有权限整体移交功能。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</w:t>
      </w:r>
      <w:r>
        <w:rPr>
          <w:rFonts w:ascii="仿宋_GB2312" w:hAnsi="华文仿宋" w:eastAsia="仿宋_GB2312"/>
          <w:sz w:val="24"/>
        </w:rPr>
        <w:t>1.</w:t>
      </w:r>
      <w:r>
        <w:rPr>
          <w:rFonts w:hint="eastAsia" w:ascii="仿宋_GB2312" w:hAnsi="华文仿宋" w:eastAsia="仿宋_GB2312"/>
          <w:sz w:val="24"/>
        </w:rPr>
        <w:t>机构和用户管理：管理员可以批量增加、删除、修改组织机构树，可单个、批量增加、删除、修改、查找用户信息。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</w:t>
      </w:r>
      <w:r>
        <w:rPr>
          <w:rFonts w:ascii="仿宋_GB2312" w:hAnsi="华文仿宋" w:eastAsia="仿宋_GB2312"/>
          <w:sz w:val="24"/>
        </w:rPr>
        <w:t>2.</w:t>
      </w:r>
      <w:r>
        <w:rPr>
          <w:rFonts w:hint="eastAsia" w:ascii="仿宋_GB2312" w:hAnsi="华文仿宋" w:eastAsia="仿宋_GB2312"/>
          <w:sz w:val="24"/>
        </w:rPr>
        <w:t>提供强大的基于浏览器的数学、化学公式在线编辑器。提供精确的学习进度监控信息，实现学生再次登录平台时能从上次学习的结束点继续学习课程。可记录、查询用户登录及操作信息。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</w:t>
      </w:r>
      <w:r>
        <w:rPr>
          <w:rFonts w:ascii="仿宋_GB2312" w:hAnsi="华文仿宋" w:eastAsia="仿宋_GB2312"/>
          <w:sz w:val="24"/>
        </w:rPr>
        <w:t>3.</w:t>
      </w:r>
      <w:r>
        <w:rPr>
          <w:rFonts w:hint="eastAsia" w:ascii="仿宋_GB2312" w:hAnsi="华文仿宋" w:eastAsia="仿宋_GB2312"/>
          <w:sz w:val="24"/>
        </w:rPr>
        <w:t xml:space="preserve"> 提供专门的APP移动客户端，需支持iOS和Android系统。能进行在线课程的学习、作业、考试、讨论、笔记、小组、成绩分析、学生管理，支持课堂签到、抢答、问卷、讨论、选人、资料、直播等功能。</w:t>
      </w:r>
    </w:p>
    <w:p>
      <w:pPr>
        <w:pStyle w:val="14"/>
        <w:ind w:firstLine="0" w:firstLineChars="0"/>
        <w:rPr>
          <w:rFonts w:ascii="仿宋_GB2312" w:hAnsi="华文仿宋" w:eastAsia="仿宋_GB2312" w:cs="Times New Roman"/>
          <w:szCs w:val="24"/>
        </w:rPr>
      </w:pPr>
      <w:r>
        <w:rPr>
          <w:rFonts w:hint="eastAsia" w:ascii="仿宋_GB2312" w:hAnsi="华文仿宋" w:eastAsia="仿宋_GB2312" w:cs="Times New Roman"/>
          <w:szCs w:val="24"/>
        </w:rPr>
        <w:t>二、软件开发集成要求</w:t>
      </w:r>
    </w:p>
    <w:p>
      <w:pPr>
        <w:pStyle w:val="15"/>
        <w:spacing w:line="360" w:lineRule="auto"/>
        <w:ind w:firstLine="48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1）采用</w:t>
      </w:r>
      <w:r>
        <w:rPr>
          <w:rFonts w:ascii="仿宋_GB2312" w:hAnsi="华文仿宋" w:eastAsia="仿宋_GB2312"/>
          <w:sz w:val="24"/>
          <w:szCs w:val="24"/>
        </w:rPr>
        <w:t>技术路线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</w:t>
      </w:r>
      <w:r>
        <w:rPr>
          <w:rFonts w:ascii="仿宋_GB2312" w:hAnsi="华文仿宋" w:eastAsia="仿宋_GB2312"/>
          <w:sz w:val="24"/>
        </w:rPr>
        <w:t>.</w:t>
      </w:r>
      <w:r>
        <w:rPr>
          <w:rFonts w:hint="eastAsia" w:ascii="仿宋_GB2312" w:hAnsi="华文仿宋" w:eastAsia="仿宋_GB2312"/>
          <w:sz w:val="24"/>
        </w:rPr>
        <w:t>平台具有先进性、可移植性、开放性和兼容性，支持标准化多媒体课件。支持随用户使用量的增大而只需增加相应的硬件即可。采用</w:t>
      </w:r>
      <w:r>
        <w:rPr>
          <w:rFonts w:ascii="仿宋_GB2312" w:hAnsi="华文仿宋" w:eastAsia="仿宋_GB2312"/>
          <w:sz w:val="24"/>
        </w:rPr>
        <w:t>java语言作为主要的后端开发语言，前端界面的开发使用标准的HTML，数据库支持ORACLE、SQL Server、MySql等主流数据库。同时用最少的代码量实现需要的功能模块，尽量减轻页面的重量，减轻服务器负担，提高页面响应速度。采用B/S结构，基于J2EE架构，页面采用Web2.0 AJAX开发，不需要另行安装插件就可以支持IE9及以上版本、safari、firefox、chrome等浏览</w:t>
      </w:r>
      <w:r>
        <w:rPr>
          <w:rFonts w:hint="eastAsia" w:ascii="仿宋_GB2312" w:hAnsi="华文仿宋" w:eastAsia="仿宋_GB2312"/>
          <w:sz w:val="24"/>
        </w:rPr>
        <w:t>器。</w:t>
      </w:r>
    </w:p>
    <w:p>
      <w:pPr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ascii="仿宋_GB2312" w:hAnsi="华文仿宋" w:eastAsia="仿宋_GB2312"/>
          <w:sz w:val="24"/>
        </w:rPr>
        <w:t>2.</w:t>
      </w:r>
      <w:r>
        <w:rPr>
          <w:rFonts w:hint="eastAsia" w:ascii="仿宋_GB2312" w:hAnsi="华文仿宋" w:eastAsia="仿宋_GB2312"/>
          <w:sz w:val="24"/>
        </w:rPr>
        <w:t>系统</w:t>
      </w:r>
      <w:r>
        <w:rPr>
          <w:rFonts w:ascii="仿宋_GB2312" w:hAnsi="华文仿宋" w:eastAsia="仿宋_GB2312"/>
          <w:sz w:val="24"/>
        </w:rPr>
        <w:t>采用面向对象的软件设计方法，将每个事务独立，降底耦合度；为扩展升级做好充分的准备；同时应采用分布式架构设计，将每个事务放到不同的服务器上，缩短平台与学生的网络距离，减少主干网上的流量，以及防止在网络意外情况下平台无法访问的问题。在架构层面，应用使用服务器集群，一方面可以支撑更大的访问量，另一方面也作为冗余备份，防止服务器故障导致的平台无法访问。在单服务器层面，配置操作系统，文件系统及应用层软件，均衡各种资源的消耗，消除系统性能瓶颈，充分发挥服务器的潜能。在应用层，通过各种缓存来提升程序的效率，减</w:t>
      </w:r>
      <w:r>
        <w:rPr>
          <w:rFonts w:hint="eastAsia" w:ascii="仿宋_GB2312" w:hAnsi="华文仿宋" w:eastAsia="仿宋_GB2312"/>
          <w:sz w:val="24"/>
        </w:rPr>
        <w:t>少服务器资源消耗。</w:t>
      </w:r>
    </w:p>
    <w:p>
      <w:pPr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ascii="仿宋_GB2312" w:hAnsi="华文仿宋" w:eastAsia="仿宋_GB2312"/>
          <w:sz w:val="24"/>
        </w:rPr>
        <w:t>2</w:t>
      </w:r>
      <w:r>
        <w:rPr>
          <w:rFonts w:hint="eastAsia" w:ascii="仿宋_GB2312" w:hAnsi="华文仿宋" w:eastAsia="仿宋_GB2312"/>
          <w:sz w:val="24"/>
        </w:rPr>
        <w:t>)</w:t>
      </w:r>
      <w:r>
        <w:rPr>
          <w:rFonts w:ascii="仿宋_GB2312" w:hAnsi="华文仿宋" w:eastAsia="仿宋_GB2312"/>
          <w:sz w:val="24"/>
        </w:rPr>
        <w:t xml:space="preserve"> 建设安全要求</w:t>
      </w:r>
    </w:p>
    <w:p>
      <w:pPr>
        <w:spacing w:line="360" w:lineRule="auto"/>
        <w:ind w:firstLine="480" w:firstLineChars="200"/>
        <w:rPr>
          <w:rFonts w:ascii="仿宋_GB2312" w:hAnsi="华文仿宋" w:eastAsia="仿宋_GB2312"/>
          <w:sz w:val="24"/>
        </w:rPr>
      </w:pPr>
      <w:r>
        <w:rPr>
          <w:rFonts w:ascii="仿宋_GB2312" w:hAnsi="华文仿宋" w:eastAsia="仿宋_GB2312"/>
          <w:sz w:val="24"/>
        </w:rPr>
        <w:t>平台支持Oracle 、MySQL、SQL  Server等主流数据库系统。</w:t>
      </w:r>
      <w:r>
        <w:rPr>
          <w:rFonts w:hint="eastAsia" w:ascii="仿宋_GB2312" w:hAnsi="华文仿宋" w:eastAsia="仿宋_GB2312"/>
          <w:sz w:val="24"/>
        </w:rPr>
        <w:t>支持</w:t>
      </w:r>
      <w:r>
        <w:rPr>
          <w:rFonts w:ascii="仿宋_GB2312" w:hAnsi="华文仿宋" w:eastAsia="仿宋_GB2312"/>
          <w:sz w:val="24"/>
        </w:rPr>
        <w:t>Web服务器集群。具有安全策略和备份机制，可根据不同的业务要求采用不同的安全措施，保证发生故障时不影响整个系统的正常运行。提供各级数据备份机制能够每天非工作时段定时备份数据库。具有相关策略对知识产权进行保护。</w:t>
      </w:r>
    </w:p>
    <w:p>
      <w:pPr>
        <w:pStyle w:val="2"/>
        <w:adjustRightInd w:val="0"/>
        <w:snapToGrid w:val="0"/>
        <w:spacing w:line="360" w:lineRule="auto"/>
        <w:jc w:val="center"/>
        <w:rPr>
          <w:rFonts w:ascii="仿宋_GB2312" w:hAnsi="华文仿宋" w:eastAsia="仿宋_GB2312"/>
          <w:b/>
          <w:sz w:val="32"/>
          <w:szCs w:val="24"/>
        </w:rPr>
      </w:pPr>
    </w:p>
    <w:p>
      <w:pPr>
        <w:pStyle w:val="2"/>
        <w:adjustRightInd w:val="0"/>
        <w:snapToGrid w:val="0"/>
        <w:spacing w:line="360" w:lineRule="auto"/>
        <w:jc w:val="center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  <w:lang w:eastAsia="zh-CN"/>
        </w:rPr>
        <w:t>二</w:t>
      </w:r>
      <w:r>
        <w:rPr>
          <w:rFonts w:hint="eastAsia" w:ascii="仿宋_GB2312" w:hAnsi="华文仿宋" w:eastAsia="仿宋_GB2312"/>
          <w:b/>
          <w:sz w:val="32"/>
          <w:szCs w:val="24"/>
        </w:rPr>
        <w:t>、产品服务清单</w:t>
      </w:r>
    </w:p>
    <w:p>
      <w:pPr>
        <w:snapToGrid w:val="0"/>
        <w:spacing w:line="360" w:lineRule="auto"/>
        <w:ind w:firstLine="480" w:firstLineChars="200"/>
        <w:rPr>
          <w:rFonts w:ascii="仿宋_GB2312" w:hAnsi="华文仿宋" w:eastAsia="仿宋_GB2312"/>
          <w:sz w:val="24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/>
          <w:sz w:val="24"/>
          <w:szCs w:val="28"/>
        </w:rPr>
        <w:t>项目功能要求：</w:t>
      </w:r>
    </w:p>
    <w:tbl>
      <w:tblPr>
        <w:tblStyle w:val="7"/>
        <w:tblW w:w="7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48"/>
        <w:gridCol w:w="6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95B3D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8"/>
              </w:rPr>
              <w:t>类 别</w:t>
            </w:r>
          </w:p>
        </w:tc>
        <w:tc>
          <w:tcPr>
            <w:tcW w:w="848" w:type="dxa"/>
            <w:shd w:val="clear" w:color="auto" w:fill="95B3D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8"/>
              </w:rPr>
              <w:t>名 称</w:t>
            </w:r>
          </w:p>
        </w:tc>
        <w:tc>
          <w:tcPr>
            <w:tcW w:w="6035" w:type="dxa"/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8"/>
              </w:rPr>
              <w:t>描 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实验室安全课程体系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实验室准入教育通识课</w:t>
            </w:r>
          </w:p>
        </w:tc>
        <w:tc>
          <w:tcPr>
            <w:tcW w:w="6035" w:type="dxa"/>
          </w:tcPr>
          <w:p>
            <w:pPr>
              <w:snapToGrid w:val="0"/>
              <w:spacing w:line="360" w:lineRule="auto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8"/>
              </w:rPr>
              <w:t>一、采购实验室安全准入通识课程名称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：</w:t>
            </w:r>
          </w:p>
          <w:p>
            <w:pPr>
              <w:snapToGrid w:val="0"/>
              <w:spacing w:line="360" w:lineRule="auto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1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公共基础实验室安全通识课：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主要包括：《实验室安全管理基础》、《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实验室个体安全防护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》、《实验室消防安全》、《实验室水电安全》、《实验室废弃物安全》、《事故急救与应急处理》等；</w:t>
            </w:r>
          </w:p>
          <w:p>
            <w:pPr>
              <w:snapToGrid w:val="0"/>
              <w:spacing w:line="360" w:lineRule="auto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ascii="仿宋_GB2312" w:hAnsi="华文仿宋" w:eastAsia="仿宋_GB2312"/>
                <w:sz w:val="24"/>
                <w:szCs w:val="28"/>
              </w:rPr>
              <w:t>2.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学科实验室安全通识课：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主要包括《化学化工类实验室安全》、《生物（含医学）类实验室安全》、《电气类实验室安全》、《实验室特种设备安全》、《实验室辐射安全》、《机械类实验室安全》等。</w:t>
            </w:r>
          </w:p>
          <w:p>
            <w:pPr>
              <w:snapToGrid w:val="0"/>
              <w:spacing w:line="360" w:lineRule="auto"/>
              <w:rPr>
                <w:rFonts w:ascii="仿宋_GB2312" w:hAnsi="华文仿宋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8"/>
              </w:rPr>
              <w:t>二、实验室安全准入教育通识课程应具备的条件：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1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bCs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课程资源丰富，满足上述拟采购的教学要求</w:t>
            </w:r>
            <w:r>
              <w:rPr>
                <w:rFonts w:hint="eastAsia" w:ascii="仿宋_GB2312" w:hAnsi="华文仿宋" w:eastAsia="仿宋_GB2312"/>
                <w:bCs/>
                <w:sz w:val="24"/>
                <w:szCs w:val="28"/>
              </w:rPr>
              <w:t>，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总视频时长超过1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000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多分钟；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2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 xml:space="preserve"> 课程内容将通用安全知识与学科安全知识相结合、公共课程资源与校本课程资源相结合、实验操作规范与安全意识教学相结合、知识体系教学与案例分析教学相结合。学校可根据教学实际情况自主知识点章节组合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3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视频学习有防止快进、防止窗口切换的功能，并且采用顺序解锁的方式控制学习进度，可在任意视频节点插入PPT、测验、图片等内容；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4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支持校本实验室课程资源融合，提供富媒体编辑器制作校本课程，可上传包含视频、文档、图片、音频、图书、公式、符号、附件、网页、动画等教学资源。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学习考试评价系统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实验室准入考试系统</w:t>
            </w:r>
          </w:p>
        </w:tc>
        <w:tc>
          <w:tcPr>
            <w:tcW w:w="6035" w:type="dxa"/>
          </w:tcPr>
          <w:p>
            <w:pPr>
              <w:snapToGrid w:val="0"/>
              <w:spacing w:line="360" w:lineRule="auto"/>
              <w:rPr>
                <w:rFonts w:ascii="仿宋_GB2312" w:hAnsi="华文仿宋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8"/>
              </w:rPr>
              <w:t>实验室准入考试系统应具备的条件：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1.考试系统有对应的题库内容，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包含千量级题库。涵盖实验室水电安全、实验室个体安全防护、实验室消防安全、事故急救与应急处理、实验室废弃物处理、实验室安全管理基础、特种设备实验室、生物实验室、机械实验室、化学实验室、辐射实验室等多个题库分类。教师可以创建课程试题库，对试题库进行管理，包括添加、修改、删除、查询、浏览等功能。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并且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支持学生题库自测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2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从课程题库中组卷考试，教师可以输入模拟试卷名称、出卷时间，可手动选题，也可设定题型、数量、难易度后系统随机生成模拟试卷；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3．支持自助式考试与机房统一考试，机房统一考试提供客户端系统；支持iOS和Android操作系统，用于手机、Pad等智能移动终端中，实现在线移动学习与考试；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4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成绩管理：教师根据学生各章节在线学习时间、作业提交情况和模拟考试成绩对学生的综合成绩进行评定；并能够按课程、按班级导出成绩（电子表格格式）、打印合格证书。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在线检查系统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实验室安全在线检查系统</w:t>
            </w:r>
          </w:p>
        </w:tc>
        <w:tc>
          <w:tcPr>
            <w:tcW w:w="6035" w:type="dxa"/>
          </w:tcPr>
          <w:p>
            <w:pPr>
              <w:snapToGrid w:val="0"/>
              <w:spacing w:line="360" w:lineRule="auto"/>
              <w:rPr>
                <w:rFonts w:ascii="仿宋_GB2312" w:hAnsi="华文仿宋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8"/>
              </w:rPr>
              <w:t>实验室安全在线检查系统应具备的条件：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1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移动端支持文字描述并拍照上传现场问题图片；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ascii="仿宋_GB2312" w:hAnsi="华文仿宋" w:eastAsia="仿宋_GB2312"/>
                <w:sz w:val="24"/>
                <w:szCs w:val="28"/>
              </w:rPr>
              <w:t>2.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P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C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后台可记录历史反馈问题，对师生提出的安全隐患提醒管理人员定期整改；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华文仿宋" w:eastAsia="仿宋_GB2312"/>
                <w:sz w:val="24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3</w:t>
            </w:r>
            <w:r>
              <w:rPr>
                <w:rFonts w:ascii="仿宋_GB2312" w:hAnsi="华文仿宋" w:eastAsia="仿宋_GB2312"/>
                <w:sz w:val="24"/>
                <w:szCs w:val="28"/>
              </w:rPr>
              <w:t>.</w:t>
            </w:r>
            <w:r>
              <w:rPr>
                <w:rFonts w:hint="eastAsia" w:ascii="仿宋_GB2312" w:hAnsi="华文仿宋" w:eastAsia="仿宋_GB2312"/>
                <w:sz w:val="24"/>
                <w:szCs w:val="28"/>
              </w:rPr>
              <w:t>移动端进行结果公示，显示安全隐患处理完成的状态。</w:t>
            </w:r>
          </w:p>
        </w:tc>
      </w:tr>
    </w:tbl>
    <w:p>
      <w:pPr>
        <w:snapToGrid w:val="0"/>
        <w:spacing w:line="360" w:lineRule="auto"/>
        <w:rPr>
          <w:rFonts w:ascii="仿宋_GB2312" w:hAnsi="华文仿宋" w:eastAsia="仿宋_GB2312"/>
          <w:sz w:val="24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3142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D6F"/>
    <w:rsid w:val="00067DAE"/>
    <w:rsid w:val="000B02C0"/>
    <w:rsid w:val="00220F47"/>
    <w:rsid w:val="002C4C0F"/>
    <w:rsid w:val="002F29DC"/>
    <w:rsid w:val="00363BE0"/>
    <w:rsid w:val="003D1C41"/>
    <w:rsid w:val="004C2CB5"/>
    <w:rsid w:val="00572152"/>
    <w:rsid w:val="006E3E1D"/>
    <w:rsid w:val="009B5929"/>
    <w:rsid w:val="00AC0D6F"/>
    <w:rsid w:val="00B0544B"/>
    <w:rsid w:val="00DF53A3"/>
    <w:rsid w:val="00E41DC8"/>
    <w:rsid w:val="15693996"/>
    <w:rsid w:val="36553AF5"/>
    <w:rsid w:val="4C9A1093"/>
    <w:rsid w:val="57E8676B"/>
    <w:rsid w:val="5E5849C2"/>
    <w:rsid w:val="6BA2111D"/>
    <w:rsid w:val="792F06D0"/>
    <w:rsid w:val="7D9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link w:val="12"/>
    <w:qFormat/>
    <w:uiPriority w:val="0"/>
    <w:pPr>
      <w:ind w:firstLine="482" w:firstLineChars="200"/>
    </w:pPr>
    <w:rPr>
      <w:rFonts w:ascii="宋体"/>
      <w:b/>
      <w:bCs/>
      <w:sz w:val="24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2">
    <w:name w:val="正文文本缩进 2 Char"/>
    <w:basedOn w:val="8"/>
    <w:link w:val="3"/>
    <w:qFormat/>
    <w:uiPriority w:val="0"/>
    <w:rPr>
      <w:rFonts w:ascii="宋体" w:hAnsi="Times New Roman" w:eastAsia="宋体" w:cs="Times New Roman"/>
      <w:b/>
      <w:bCs/>
      <w:sz w:val="24"/>
      <w:szCs w:val="24"/>
    </w:rPr>
  </w:style>
  <w:style w:type="character" w:customStyle="1" w:styleId="13">
    <w:name w:val="标准文本 Char"/>
    <w:link w:val="14"/>
    <w:qFormat/>
    <w:uiPriority w:val="0"/>
    <w:rPr>
      <w:rFonts w:ascii="Times New Roman" w:hAnsi="Times New Roman" w:eastAsia="宋体" w:cs="宋体"/>
      <w:sz w:val="24"/>
    </w:rPr>
  </w:style>
  <w:style w:type="paragraph" w:customStyle="1" w:styleId="14">
    <w:name w:val="标准文本"/>
    <w:basedOn w:val="1"/>
    <w:link w:val="13"/>
    <w:qFormat/>
    <w:uiPriority w:val="0"/>
    <w:pPr>
      <w:spacing w:line="360" w:lineRule="auto"/>
      <w:ind w:firstLine="200" w:firstLineChars="200"/>
    </w:pPr>
    <w:rPr>
      <w:rFonts w:cs="宋体"/>
      <w:sz w:val="24"/>
      <w:szCs w:val="22"/>
    </w:rPr>
  </w:style>
  <w:style w:type="paragraph" w:customStyle="1" w:styleId="15">
    <w:name w:val="_Style 4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470</Words>
  <Characters>2684</Characters>
  <Lines>22</Lines>
  <Paragraphs>6</Paragraphs>
  <TotalTime>50</TotalTime>
  <ScaleCrop>false</ScaleCrop>
  <LinksUpToDate>false</LinksUpToDate>
  <CharactersWithSpaces>3148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2019-04-29T07:33:00Z</dcterms:created>
  <dc:creator>Microsoft</dc:creator>
  <cp:lastModifiedBy>Caspar</cp:lastModifiedBy>
  <cp:lastPrinted>2019-04-29T09:17:00Z</cp:lastPrinted>
  <dcterms:modified xsi:type="dcterms:W3CDTF">2019-05-06T08:36:04Z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