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24"/>
        </w:rPr>
      </w:pPr>
    </w:p>
    <w:p>
      <w:pPr>
        <w:spacing w:line="520" w:lineRule="exact"/>
        <w:jc w:val="center"/>
        <w:rPr>
          <w:rFonts w:hint="eastAsia" w:ascii="仿宋_GB2312" w:eastAsia="仿宋_GB2312"/>
          <w:sz w:val="32"/>
          <w:szCs w:val="32"/>
        </w:rPr>
      </w:pPr>
    </w:p>
    <w:p>
      <w:pPr>
        <w:spacing w:line="520" w:lineRule="exact"/>
        <w:jc w:val="center"/>
        <w:rPr>
          <w:rFonts w:hint="eastAsia" w:ascii="仿宋_GB2312" w:eastAsia="仿宋_GB2312"/>
          <w:sz w:val="30"/>
          <w:szCs w:val="30"/>
        </w:rPr>
      </w:pPr>
      <w:r>
        <w:rPr>
          <w:rFonts w:hint="eastAsia" w:ascii="仿宋_GB2312" w:eastAsia="仿宋_GB2312"/>
          <w:sz w:val="32"/>
          <w:szCs w:val="32"/>
        </w:rPr>
        <w:t>翰办字〔201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号</w:t>
      </w:r>
      <w:r>
        <w:rPr>
          <w:rFonts w:hint="eastAsia" w:ascii="仿宋_GB2312" w:eastAsia="仿宋_GB2312"/>
          <w:sz w:val="30"/>
          <w:szCs w:val="30"/>
        </w:rPr>
        <w:t xml:space="preserve"> </w:t>
      </w:r>
    </w:p>
    <w:p>
      <w:pPr>
        <w:spacing w:line="520" w:lineRule="exact"/>
        <w:rPr>
          <w:rFonts w:hint="eastAsia"/>
          <w:b/>
          <w:sz w:val="24"/>
        </w:rPr>
      </w:pPr>
    </w:p>
    <w:p>
      <w:pPr>
        <w:spacing w:line="520" w:lineRule="exact"/>
        <w:rPr>
          <w:rFonts w:hint="eastAsia"/>
          <w:b/>
          <w:sz w:val="24"/>
        </w:rPr>
      </w:pPr>
    </w:p>
    <w:p>
      <w:pPr>
        <w:pStyle w:val="2"/>
        <w:spacing w:line="58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关于</w:t>
      </w:r>
      <w:r>
        <w:rPr>
          <w:rFonts w:hint="eastAsia" w:ascii="方正小标宋简体" w:hAnsi="方正小标宋简体" w:eastAsia="方正小标宋简体" w:cs="方正小标宋简体"/>
          <w:bCs/>
          <w:sz w:val="44"/>
          <w:szCs w:val="44"/>
          <w:lang w:val="en-US" w:eastAsia="zh-CN"/>
        </w:rPr>
        <w:t>报送</w:t>
      </w:r>
      <w:r>
        <w:rPr>
          <w:rFonts w:hint="eastAsia" w:ascii="方正小标宋简体" w:hAnsi="方正小标宋简体" w:eastAsia="方正小标宋简体" w:cs="方正小标宋简体"/>
          <w:bCs/>
          <w:sz w:val="44"/>
          <w:szCs w:val="44"/>
          <w:lang w:eastAsia="zh-CN"/>
        </w:rPr>
        <w:t>南京中医药大学</w:t>
      </w:r>
      <w:r>
        <w:rPr>
          <w:rFonts w:hint="eastAsia" w:ascii="方正小标宋简体" w:hAnsi="方正小标宋简体" w:eastAsia="方正小标宋简体" w:cs="方正小标宋简体"/>
          <w:bCs/>
          <w:sz w:val="44"/>
          <w:szCs w:val="44"/>
          <w:lang w:val="en-US" w:eastAsia="zh-CN"/>
        </w:rPr>
        <w:t>翰林学院</w:t>
      </w:r>
      <w:r>
        <w:rPr>
          <w:rFonts w:hint="eastAsia" w:ascii="方正小标宋简体" w:hAnsi="方正小标宋简体" w:eastAsia="方正小标宋简体" w:cs="方正小标宋简体"/>
          <w:bCs/>
          <w:sz w:val="44"/>
          <w:szCs w:val="44"/>
          <w:lang w:eastAsia="zh-CN"/>
        </w:rPr>
        <w:t>各单位</w:t>
      </w:r>
    </w:p>
    <w:p>
      <w:pPr>
        <w:pStyle w:val="2"/>
        <w:spacing w:line="58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分管档案工作负责人及兼职档案员的通知</w:t>
      </w:r>
    </w:p>
    <w:p>
      <w:pPr>
        <w:pStyle w:val="2"/>
        <w:spacing w:line="580" w:lineRule="exact"/>
        <w:jc w:val="center"/>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eastAsia="仿宋_GB2312"/>
          <w:sz w:val="32"/>
          <w:szCs w:val="32"/>
        </w:rPr>
      </w:pPr>
      <w:r>
        <w:rPr>
          <w:rFonts w:hint="eastAsia" w:ascii="仿宋_GB2312" w:eastAsia="仿宋_GB2312"/>
          <w:sz w:val="32"/>
          <w:szCs w:val="32"/>
        </w:rPr>
        <w:t>各部门、各</w:t>
      </w:r>
      <w:r>
        <w:rPr>
          <w:rFonts w:hint="eastAsia" w:ascii="仿宋_GB2312" w:eastAsia="仿宋_GB2312"/>
          <w:sz w:val="32"/>
          <w:szCs w:val="32"/>
          <w:lang w:val="en-US" w:eastAsia="zh-CN"/>
        </w:rPr>
        <w:t>二级</w:t>
      </w:r>
      <w:r>
        <w:rPr>
          <w:rFonts w:hint="eastAsia" w:ascii="仿宋_GB2312" w:eastAsia="仿宋_GB2312"/>
          <w:sz w:val="32"/>
          <w:szCs w:val="32"/>
        </w:rPr>
        <w:t>学院、各单位：</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为更好地贯彻实施《档案法》和《高等学校档案管理办法》，进一步健全档案工作网络，保证档案资料的完整与安全，更好地为教学、科研、管理和师生服务，根据学</w:t>
      </w:r>
      <w:r>
        <w:rPr>
          <w:rFonts w:hint="eastAsia" w:ascii="仿宋_GB2312" w:eastAsia="仿宋_GB2312"/>
          <w:sz w:val="32"/>
          <w:szCs w:val="32"/>
          <w:lang w:eastAsia="zh-CN"/>
        </w:rPr>
        <w:t>院</w:t>
      </w:r>
      <w:r>
        <w:rPr>
          <w:rFonts w:hint="eastAsia" w:ascii="仿宋_GB2312" w:eastAsia="仿宋_GB2312"/>
          <w:sz w:val="32"/>
          <w:szCs w:val="32"/>
        </w:rPr>
        <w:t>机构调整和人事变动情况，各单位需重新报送档案工作负责人和兼职档案员名单，现将有关事项通知如下：</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一、兼职档案员的条件</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1.忠于职守，责任心强，严守机密，甘于奉献。</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2.具有一定的组织协调能力，了解本单位的工作业务，具有较强的计算机水平和较好的工作能力。</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3.岗位相对稳定，乐于兼职档案工作。</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二、兼职档案员的基本职责</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1.负责本单位档案材料的收集、保管，坚持平时立卷；根据不同种类的文件材料编制预立卷目录，合理存放，妥善保管。</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2.每年应在规定的时间内，按要求向</w:t>
      </w:r>
      <w:r>
        <w:rPr>
          <w:rFonts w:hint="eastAsia" w:ascii="仿宋_GB2312" w:eastAsia="仿宋_GB2312"/>
          <w:sz w:val="32"/>
          <w:szCs w:val="32"/>
          <w:lang w:val="en-US" w:eastAsia="zh-CN"/>
        </w:rPr>
        <w:t>学院档案室</w:t>
      </w:r>
      <w:r>
        <w:rPr>
          <w:rFonts w:hint="eastAsia" w:ascii="仿宋_GB2312" w:eastAsia="仿宋_GB2312"/>
          <w:sz w:val="32"/>
          <w:szCs w:val="32"/>
        </w:rPr>
        <w:t>移交各门类档案，并保证归档文件材料的完整、准确、系统。</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3.认真学习、执行档案工作政策法规，积极参加档案业务培训和相关活动，接受档案</w:t>
      </w:r>
      <w:r>
        <w:rPr>
          <w:rFonts w:hint="eastAsia" w:ascii="仿宋_GB2312" w:eastAsia="仿宋_GB2312"/>
          <w:sz w:val="32"/>
          <w:szCs w:val="32"/>
          <w:lang w:eastAsia="zh-CN"/>
        </w:rPr>
        <w:t>室</w:t>
      </w:r>
      <w:r>
        <w:rPr>
          <w:rFonts w:hint="eastAsia" w:ascii="仿宋_GB2312" w:eastAsia="仿宋_GB2312"/>
          <w:sz w:val="32"/>
          <w:szCs w:val="32"/>
        </w:rPr>
        <w:t>的业务指导和督促检查。</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4.做好文件材料的安全和保密工作。</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请各单位将档案工作负责人和兼职档案员登记表于</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w:t>
      </w:r>
      <w:r>
        <w:rPr>
          <w:rFonts w:hint="eastAsia" w:ascii="仿宋_GB2312" w:eastAsia="仿宋_GB2312"/>
          <w:sz w:val="32"/>
          <w:szCs w:val="32"/>
          <w:lang w:eastAsia="zh-CN"/>
        </w:rPr>
        <w:t>（周二）下班</w:t>
      </w:r>
      <w:r>
        <w:rPr>
          <w:rFonts w:hint="eastAsia" w:ascii="仿宋_GB2312" w:eastAsia="仿宋_GB2312"/>
          <w:sz w:val="32"/>
          <w:szCs w:val="32"/>
        </w:rPr>
        <w:t>前将</w:t>
      </w:r>
      <w:r>
        <w:rPr>
          <w:rFonts w:hint="eastAsia" w:ascii="仿宋_GB2312" w:eastAsia="仿宋_GB2312"/>
          <w:sz w:val="32"/>
          <w:szCs w:val="32"/>
          <w:lang w:eastAsia="zh-CN"/>
        </w:rPr>
        <w:t>电子版</w:t>
      </w:r>
      <w:r>
        <w:rPr>
          <w:rFonts w:hint="eastAsia" w:ascii="仿宋_GB2312" w:eastAsia="仿宋_GB2312"/>
          <w:sz w:val="32"/>
          <w:szCs w:val="32"/>
          <w:lang w:val="en-US" w:eastAsia="zh-CN"/>
        </w:rPr>
        <w:t>名单发至联系人邮箱，纸质版需部门领导签字送至档案室。</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联 系 人：</w:t>
      </w:r>
      <w:r>
        <w:rPr>
          <w:rFonts w:hint="eastAsia" w:ascii="仿宋_GB2312" w:eastAsia="仿宋_GB2312"/>
          <w:sz w:val="32"/>
          <w:szCs w:val="32"/>
          <w:lang w:val="en-US" w:eastAsia="zh-CN"/>
        </w:rPr>
        <w:t>朱美桥   联系邮箱: 148093191@qq.com</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附件：南京中医药大学翰林学院各单位分管档案工作人及兼职档案员报送表</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right"/>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南京中医药大学翰林学院院长办公室</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center"/>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南京中医药大学翰林学院各单位分管档案工作人及兼职档案员报送表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170"/>
        <w:gridCol w:w="3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部门</w:t>
            </w:r>
          </w:p>
        </w:tc>
        <w:tc>
          <w:tcPr>
            <w:tcW w:w="317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分管负责人</w:t>
            </w:r>
          </w:p>
        </w:tc>
        <w:tc>
          <w:tcPr>
            <w:tcW w:w="340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兼职档案员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vertAlign w:val="baseline"/>
                <w:lang w:val="en-US" w:eastAsia="zh-CN"/>
              </w:rPr>
            </w:pPr>
          </w:p>
        </w:tc>
        <w:tc>
          <w:tcPr>
            <w:tcW w:w="317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vertAlign w:val="baseline"/>
                <w:lang w:val="en-US" w:eastAsia="zh-CN"/>
              </w:rPr>
            </w:pPr>
          </w:p>
        </w:tc>
        <w:tc>
          <w:tcPr>
            <w:tcW w:w="3407"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sz w:val="24"/>
          <w:szCs w:val="24"/>
          <w:lang w:val="en-US" w:eastAsia="zh-CN"/>
        </w:rPr>
      </w:pPr>
      <w:r>
        <w:rPr>
          <w:rFonts w:hint="eastAsia" w:ascii="仿宋_GB2312" w:hAnsi="仿宋_GB2312" w:eastAsia="仿宋_GB2312" w:cs="仿宋_GB2312"/>
          <w:sz w:val="32"/>
          <w:szCs w:val="32"/>
          <w:lang w:val="en-US" w:eastAsia="zh-CN"/>
        </w:rPr>
        <w:t xml:space="preserve">                       部门负责人签字：</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sz w:val="32"/>
          <w:szCs w:val="32"/>
          <w:lang w:val="en-US" w:eastAsia="zh-CN"/>
        </w:rPr>
      </w:pPr>
    </w:p>
    <w:tbl>
      <w:tblPr>
        <w:tblStyle w:val="3"/>
        <w:tblpPr w:leftFromText="180" w:rightFromText="180" w:vertAnchor="page" w:horzAnchor="page" w:tblpX="1630" w:tblpY="14031"/>
        <w:tblOverlap w:val="never"/>
        <w:tblW w:w="9058" w:type="dxa"/>
        <w:tblInd w:w="0" w:type="dxa"/>
        <w:tblBorders>
          <w:top w:val="none" w:color="auto" w:sz="0" w:space="0"/>
          <w:left w:val="none" w:color="auto" w:sz="0" w:space="0"/>
          <w:bottom w:val="single" w:color="auto" w:sz="8"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5046"/>
        <w:gridCol w:w="4012"/>
      </w:tblGrid>
      <w:tr>
        <w:tblPrEx>
          <w:tblBorders>
            <w:top w:val="none" w:color="auto" w:sz="0"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0" w:hRule="atLeast"/>
        </w:trPr>
        <w:tc>
          <w:tcPr>
            <w:tcW w:w="5046" w:type="dxa"/>
            <w:tcBorders>
              <w:top w:val="single" w:color="auto" w:sz="8" w:space="0"/>
              <w:bottom w:val="single" w:color="auto" w:sz="8" w:space="0"/>
            </w:tcBorders>
            <w:vAlign w:val="bottom"/>
          </w:tcPr>
          <w:p>
            <w:pPr>
              <w:keepNext w:val="0"/>
              <w:keepLines w:val="0"/>
              <w:pageBreakBefore w:val="0"/>
              <w:kinsoku/>
              <w:overflowPunct/>
              <w:topLinePunct w:val="0"/>
              <w:autoSpaceDE/>
              <w:autoSpaceDN/>
              <w:bidi w:val="0"/>
              <w:adjustRightInd/>
              <w:snapToGrid/>
              <w:spacing w:line="600" w:lineRule="exact"/>
              <w:ind w:left="0" w:leftChars="0"/>
              <w:textAlignment w:val="baseline"/>
              <w:outlineLvl w:val="9"/>
              <w:rPr>
                <w:rFonts w:hint="eastAsia" w:ascii="仿宋_GB2312" w:hAnsi="仿宋_GB2312" w:eastAsia="仿宋_GB2312" w:cs="仿宋_GB2312"/>
                <w:sz w:val="28"/>
                <w:szCs w:val="28"/>
              </w:rPr>
            </w:pPr>
          </w:p>
        </w:tc>
        <w:tc>
          <w:tcPr>
            <w:tcW w:w="4012" w:type="dxa"/>
            <w:tcBorders>
              <w:top w:val="single" w:color="auto" w:sz="8" w:space="0"/>
              <w:bottom w:val="single" w:color="auto" w:sz="8" w:space="0"/>
            </w:tcBorders>
            <w:vAlign w:val="center"/>
          </w:tcPr>
          <w:p>
            <w:pPr>
              <w:keepNext w:val="0"/>
              <w:keepLines w:val="0"/>
              <w:pageBreakBefore w:val="0"/>
              <w:kinsoku/>
              <w:wordWrap w:val="0"/>
              <w:overflowPunct/>
              <w:topLinePunct w:val="0"/>
              <w:autoSpaceDE/>
              <w:autoSpaceDN/>
              <w:bidi w:val="0"/>
              <w:adjustRightInd/>
              <w:snapToGrid/>
              <w:spacing w:line="600" w:lineRule="exact"/>
              <w:ind w:left="0" w:leftChars="0"/>
              <w:jc w:val="right"/>
              <w:textAlignment w:val="baseline"/>
              <w:outlineLvl w:val="9"/>
              <w:rPr>
                <w:rFonts w:hint="eastAsia" w:ascii="仿宋_GB2312" w:hAnsi="仿宋_GB2312" w:eastAsia="仿宋_GB2312" w:cs="仿宋_GB2312"/>
                <w:sz w:val="28"/>
                <w:szCs w:val="28"/>
              </w:rPr>
            </w:pPr>
          </w:p>
        </w:tc>
      </w:tr>
      <w:tr>
        <w:tblPrEx>
          <w:tblBorders>
            <w:top w:val="none" w:color="auto" w:sz="0" w:space="0"/>
            <w:left w:val="none" w:color="auto" w:sz="0" w:space="0"/>
            <w:bottom w:val="single" w:color="auto" w:sz="8"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0" w:hRule="atLeast"/>
        </w:trPr>
        <w:tc>
          <w:tcPr>
            <w:tcW w:w="5046" w:type="dxa"/>
            <w:tcBorders>
              <w:top w:val="single" w:color="auto" w:sz="8" w:space="0"/>
            </w:tcBorders>
            <w:vAlign w:val="bottom"/>
          </w:tcPr>
          <w:p>
            <w:pPr>
              <w:keepNext w:val="0"/>
              <w:keepLines w:val="0"/>
              <w:pageBreakBefore w:val="0"/>
              <w:kinsoku/>
              <w:overflowPunct/>
              <w:topLinePunct w:val="0"/>
              <w:autoSpaceDE/>
              <w:autoSpaceDN/>
              <w:bidi w:val="0"/>
              <w:adjustRightInd/>
              <w:snapToGrid/>
              <w:spacing w:line="600" w:lineRule="exact"/>
              <w:ind w:left="0" w:leftChars="0"/>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院长办公室</w:t>
            </w:r>
          </w:p>
        </w:tc>
        <w:tc>
          <w:tcPr>
            <w:tcW w:w="4012" w:type="dxa"/>
            <w:tcBorders>
              <w:top w:val="single" w:color="auto" w:sz="8" w:space="0"/>
            </w:tcBorders>
            <w:vAlign w:val="center"/>
          </w:tcPr>
          <w:p>
            <w:pPr>
              <w:keepNext w:val="0"/>
              <w:keepLines w:val="0"/>
              <w:pageBreakBefore w:val="0"/>
              <w:kinsoku/>
              <w:wordWrap w:val="0"/>
              <w:overflowPunct/>
              <w:topLinePunct w:val="0"/>
              <w:autoSpaceDE/>
              <w:autoSpaceDN/>
              <w:bidi w:val="0"/>
              <w:adjustRightInd/>
              <w:snapToGrid/>
              <w:spacing w:line="600" w:lineRule="exact"/>
              <w:ind w:left="0" w:leftChars="0"/>
              <w:jc w:val="right"/>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w:t>
            </w:r>
            <w:bookmarkStart w:id="0" w:name="_GoBack"/>
            <w:bookmarkEnd w:id="0"/>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 xml:space="preserve">日印发 </w:t>
            </w:r>
          </w:p>
        </w:tc>
      </w:tr>
    </w:tbl>
    <w:p>
      <w:pPr>
        <w:rPr>
          <w:rFonts w:ascii="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0AC"/>
    <w:rsid w:val="00074202"/>
    <w:rsid w:val="002D148F"/>
    <w:rsid w:val="005052D7"/>
    <w:rsid w:val="0052463F"/>
    <w:rsid w:val="005B1B65"/>
    <w:rsid w:val="005C1E43"/>
    <w:rsid w:val="00A240AC"/>
    <w:rsid w:val="00BA09BF"/>
    <w:rsid w:val="00D3465D"/>
    <w:rsid w:val="00FB0AAB"/>
    <w:rsid w:val="072F70ED"/>
    <w:rsid w:val="080A6344"/>
    <w:rsid w:val="0A316755"/>
    <w:rsid w:val="0A9C257F"/>
    <w:rsid w:val="11EB7712"/>
    <w:rsid w:val="1BDD1CFD"/>
    <w:rsid w:val="1D173B2A"/>
    <w:rsid w:val="1F8A5AF1"/>
    <w:rsid w:val="23287E92"/>
    <w:rsid w:val="251E1427"/>
    <w:rsid w:val="29CB0A46"/>
    <w:rsid w:val="30DB3CEB"/>
    <w:rsid w:val="31323392"/>
    <w:rsid w:val="31BE7ABA"/>
    <w:rsid w:val="323C61A6"/>
    <w:rsid w:val="32453C47"/>
    <w:rsid w:val="37792C2F"/>
    <w:rsid w:val="3E1F0578"/>
    <w:rsid w:val="42001BB9"/>
    <w:rsid w:val="427637FF"/>
    <w:rsid w:val="42D67A54"/>
    <w:rsid w:val="45495CDF"/>
    <w:rsid w:val="461909AC"/>
    <w:rsid w:val="468F60D1"/>
    <w:rsid w:val="4ABF00CE"/>
    <w:rsid w:val="4D261869"/>
    <w:rsid w:val="4FFC7C62"/>
    <w:rsid w:val="523E57B4"/>
    <w:rsid w:val="58955315"/>
    <w:rsid w:val="5D1D3C34"/>
    <w:rsid w:val="5F5D52EE"/>
    <w:rsid w:val="6327017D"/>
    <w:rsid w:val="64B948A2"/>
    <w:rsid w:val="66CE4251"/>
    <w:rsid w:val="675909B0"/>
    <w:rsid w:val="6B1705BB"/>
    <w:rsid w:val="6D96786B"/>
    <w:rsid w:val="6F7E5018"/>
    <w:rsid w:val="71AF5870"/>
    <w:rsid w:val="739124B6"/>
    <w:rsid w:val="74655905"/>
    <w:rsid w:val="75C54300"/>
    <w:rsid w:val="76BC321F"/>
    <w:rsid w:val="7AA71DC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qFormat/>
    <w:uiPriority w:val="99"/>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szCs w:val="21"/>
    </w:rPr>
  </w:style>
  <w:style w:type="table" w:styleId="4">
    <w:name w:val="Table Grid"/>
    <w:basedOn w:val="3"/>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196</Words>
  <Characters>1118</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☆ゞ茵玥彩莹</cp:lastModifiedBy>
  <cp:lastPrinted>2018-01-19T08:43:00Z</cp:lastPrinted>
  <dcterms:modified xsi:type="dcterms:W3CDTF">2019-11-29T03:31:25Z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